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DE6" w:rsidRPr="00142DE6" w:rsidRDefault="009E522F" w:rsidP="00142DE6">
      <w:pPr>
        <w:spacing w:before="24" w:after="24" w:line="240" w:lineRule="auto"/>
        <w:jc w:val="center"/>
        <w:outlineLvl w:val="1"/>
        <w:rPr>
          <w:rFonts w:ascii="Arial" w:eastAsia="Times New Roman" w:hAnsi="Arial" w:cs="Arial"/>
          <w:b/>
          <w:color w:val="0000FF"/>
          <w:kern w:val="36"/>
          <w:sz w:val="44"/>
          <w:szCs w:val="44"/>
        </w:rPr>
      </w:pPr>
      <w:bookmarkStart w:id="0" w:name="_GoBack"/>
      <w:r w:rsidRPr="00142DE6">
        <w:rPr>
          <w:rFonts w:ascii="Arial" w:eastAsia="Times New Roman" w:hAnsi="Arial" w:cs="Arial"/>
          <w:b/>
          <w:color w:val="0000FF"/>
          <w:kern w:val="36"/>
          <w:sz w:val="44"/>
          <w:szCs w:val="44"/>
        </w:rPr>
        <w:t>What is Fibonacci retracement</w:t>
      </w:r>
      <w:r w:rsidR="00142DE6" w:rsidRPr="00142DE6">
        <w:rPr>
          <w:rFonts w:ascii="Arial" w:eastAsia="Times New Roman" w:hAnsi="Arial" w:cs="Arial"/>
          <w:b/>
          <w:color w:val="0000FF"/>
          <w:kern w:val="36"/>
          <w:sz w:val="44"/>
          <w:szCs w:val="44"/>
        </w:rPr>
        <w:t>?</w:t>
      </w:r>
    </w:p>
    <w:p w:rsidR="009E522F" w:rsidRPr="00142DE6" w:rsidRDefault="00142DE6" w:rsidP="00142DE6">
      <w:pPr>
        <w:spacing w:before="24" w:after="24" w:line="240" w:lineRule="auto"/>
        <w:jc w:val="center"/>
        <w:outlineLvl w:val="1"/>
        <w:rPr>
          <w:rFonts w:ascii="Arial" w:eastAsia="Times New Roman" w:hAnsi="Arial" w:cs="Arial"/>
          <w:b/>
          <w:color w:val="0000FF"/>
          <w:kern w:val="36"/>
          <w:sz w:val="44"/>
          <w:szCs w:val="44"/>
        </w:rPr>
      </w:pPr>
      <w:r w:rsidRPr="00142DE6">
        <w:rPr>
          <w:rFonts w:ascii="Arial" w:eastAsia="Times New Roman" w:hAnsi="Arial" w:cs="Arial"/>
          <w:b/>
          <w:color w:val="0000FF"/>
          <w:kern w:val="36"/>
          <w:sz w:val="44"/>
          <w:szCs w:val="44"/>
        </w:rPr>
        <w:t>Where</w:t>
      </w:r>
      <w:r w:rsidR="009E522F" w:rsidRPr="00142DE6">
        <w:rPr>
          <w:rFonts w:ascii="Arial" w:eastAsia="Times New Roman" w:hAnsi="Arial" w:cs="Arial"/>
          <w:b/>
          <w:color w:val="0000FF"/>
          <w:kern w:val="36"/>
          <w:sz w:val="44"/>
          <w:szCs w:val="44"/>
        </w:rPr>
        <w:t xml:space="preserve"> do the ratios used</w:t>
      </w:r>
      <w:r w:rsidRPr="00142DE6">
        <w:rPr>
          <w:rFonts w:ascii="Arial" w:eastAsia="Times New Roman" w:hAnsi="Arial" w:cs="Arial"/>
          <w:b/>
          <w:color w:val="0000FF"/>
          <w:kern w:val="36"/>
          <w:sz w:val="44"/>
          <w:szCs w:val="44"/>
        </w:rPr>
        <w:t>,</w:t>
      </w:r>
      <w:r w:rsidR="009E522F" w:rsidRPr="00142DE6">
        <w:rPr>
          <w:rFonts w:ascii="Arial" w:eastAsia="Times New Roman" w:hAnsi="Arial" w:cs="Arial"/>
          <w:b/>
          <w:color w:val="0000FF"/>
          <w:kern w:val="36"/>
          <w:sz w:val="44"/>
          <w:szCs w:val="44"/>
        </w:rPr>
        <w:t xml:space="preserve"> come from?</w:t>
      </w:r>
    </w:p>
    <w:bookmarkEnd w:id="0"/>
    <w:p w:rsidR="009E522F" w:rsidRPr="0027745E" w:rsidRDefault="009E522F" w:rsidP="009E522F">
      <w:pPr>
        <w:spacing w:after="0" w:line="240" w:lineRule="auto"/>
        <w:jc w:val="center"/>
        <w:rPr>
          <w:rFonts w:ascii="Arial" w:eastAsia="Times New Roman" w:hAnsi="Arial" w:cs="Arial"/>
          <w:sz w:val="20"/>
          <w:szCs w:val="20"/>
        </w:rPr>
      </w:pPr>
    </w:p>
    <w:p w:rsidR="009E522F" w:rsidRPr="0027745E" w:rsidRDefault="001371B1" w:rsidP="009E522F">
      <w:pPr>
        <w:spacing w:line="300" w:lineRule="atLeast"/>
        <w:rPr>
          <w:rFonts w:ascii="Arial" w:eastAsia="Times New Roman" w:hAnsi="Arial" w:cs="Arial"/>
          <w:sz w:val="24"/>
          <w:szCs w:val="24"/>
        </w:rPr>
      </w:pPr>
      <w:hyperlink r:id="rId5" w:history="1">
        <w:r w:rsidR="009E522F" w:rsidRPr="0027745E">
          <w:rPr>
            <w:rFonts w:ascii="Arial" w:eastAsia="Times New Roman" w:hAnsi="Arial" w:cs="Arial"/>
            <w:sz w:val="24"/>
            <w:szCs w:val="24"/>
          </w:rPr>
          <w:t>Fibonacci retracement</w:t>
        </w:r>
      </w:hyperlink>
      <w:r w:rsidR="009E522F" w:rsidRPr="0027745E">
        <w:rPr>
          <w:rFonts w:ascii="Arial" w:eastAsia="Times New Roman" w:hAnsi="Arial" w:cs="Arial"/>
          <w:sz w:val="24"/>
          <w:szCs w:val="24"/>
        </w:rPr>
        <w:t xml:space="preserve"> is a very popular tool among technical traders and is based on the key </w:t>
      </w:r>
      <w:hyperlink r:id="rId6" w:history="1">
        <w:r w:rsidR="009E522F" w:rsidRPr="0027745E">
          <w:rPr>
            <w:rFonts w:ascii="Arial" w:eastAsia="Times New Roman" w:hAnsi="Arial" w:cs="Arial"/>
            <w:sz w:val="24"/>
            <w:szCs w:val="24"/>
          </w:rPr>
          <w:t>numbers</w:t>
        </w:r>
      </w:hyperlink>
      <w:r w:rsidR="009E522F" w:rsidRPr="0027745E">
        <w:rPr>
          <w:rFonts w:ascii="Arial" w:eastAsia="Times New Roman" w:hAnsi="Arial" w:cs="Arial"/>
          <w:sz w:val="24"/>
          <w:szCs w:val="24"/>
        </w:rPr>
        <w:t xml:space="preserve"> identified by mathematician Leonardo Fibonacci in the thirteenth century. However, Fibonacci's sequence of numbers is not as important as the mathematical relationships, expressed as ratios, between the numbers in the series. In technical analysis, Fibonacci retracement is created by taking two extreme points (usually a major </w:t>
      </w:r>
      <w:hyperlink r:id="rId7" w:history="1">
        <w:r w:rsidR="009E522F" w:rsidRPr="0027745E">
          <w:rPr>
            <w:rFonts w:ascii="Arial" w:eastAsia="Times New Roman" w:hAnsi="Arial" w:cs="Arial"/>
            <w:sz w:val="24"/>
            <w:szCs w:val="24"/>
          </w:rPr>
          <w:t>peak</w:t>
        </w:r>
      </w:hyperlink>
      <w:r w:rsidR="009E522F" w:rsidRPr="0027745E">
        <w:rPr>
          <w:rFonts w:ascii="Arial" w:eastAsia="Times New Roman" w:hAnsi="Arial" w:cs="Arial"/>
          <w:sz w:val="24"/>
          <w:szCs w:val="24"/>
        </w:rPr>
        <w:t xml:space="preserve"> and </w:t>
      </w:r>
      <w:hyperlink r:id="rId8" w:history="1">
        <w:r w:rsidR="009E522F" w:rsidRPr="0027745E">
          <w:rPr>
            <w:rFonts w:ascii="Arial" w:eastAsia="Times New Roman" w:hAnsi="Arial" w:cs="Arial"/>
            <w:sz w:val="24"/>
            <w:szCs w:val="24"/>
          </w:rPr>
          <w:t>trough</w:t>
        </w:r>
      </w:hyperlink>
      <w:r w:rsidR="009E522F" w:rsidRPr="0027745E">
        <w:rPr>
          <w:rFonts w:ascii="Arial" w:eastAsia="Times New Roman" w:hAnsi="Arial" w:cs="Arial"/>
          <w:sz w:val="24"/>
          <w:szCs w:val="24"/>
        </w:rPr>
        <w:t xml:space="preserve">) on a </w:t>
      </w:r>
      <w:r w:rsidR="00142DE6">
        <w:rPr>
          <w:rFonts w:ascii="Arial" w:eastAsia="Times New Roman" w:hAnsi="Arial" w:cs="Arial"/>
          <w:sz w:val="24"/>
          <w:szCs w:val="24"/>
        </w:rPr>
        <w:t xml:space="preserve">forex or </w:t>
      </w:r>
      <w:r w:rsidR="009E522F" w:rsidRPr="0027745E">
        <w:rPr>
          <w:rFonts w:ascii="Arial" w:eastAsia="Times New Roman" w:hAnsi="Arial" w:cs="Arial"/>
          <w:sz w:val="24"/>
          <w:szCs w:val="24"/>
        </w:rPr>
        <w:t xml:space="preserve">stock chart and dividing the vertical distance by the key Fibonacci ratios of 23.6%, 38.2%, 50%, 61.8% and 100%. Once these levels are identified, horizontal lines are drawn and used to identify possible </w:t>
      </w:r>
      <w:hyperlink r:id="rId9" w:history="1">
        <w:r w:rsidR="009E522F" w:rsidRPr="0027745E">
          <w:rPr>
            <w:rFonts w:ascii="Arial" w:eastAsia="Times New Roman" w:hAnsi="Arial" w:cs="Arial"/>
            <w:sz w:val="24"/>
            <w:szCs w:val="24"/>
          </w:rPr>
          <w:t>support</w:t>
        </w:r>
      </w:hyperlink>
      <w:r w:rsidR="009E522F" w:rsidRPr="0027745E">
        <w:rPr>
          <w:rFonts w:ascii="Arial" w:eastAsia="Times New Roman" w:hAnsi="Arial" w:cs="Arial"/>
          <w:sz w:val="24"/>
          <w:szCs w:val="24"/>
        </w:rPr>
        <w:t xml:space="preserve"> and </w:t>
      </w:r>
      <w:hyperlink r:id="rId10" w:history="1">
        <w:r w:rsidR="009E522F" w:rsidRPr="0027745E">
          <w:rPr>
            <w:rFonts w:ascii="Arial" w:eastAsia="Times New Roman" w:hAnsi="Arial" w:cs="Arial"/>
            <w:sz w:val="24"/>
            <w:szCs w:val="24"/>
          </w:rPr>
          <w:t>resistance</w:t>
        </w:r>
      </w:hyperlink>
      <w:r w:rsidR="009E522F" w:rsidRPr="0027745E">
        <w:rPr>
          <w:rFonts w:ascii="Arial" w:eastAsia="Times New Roman" w:hAnsi="Arial" w:cs="Arial"/>
          <w:sz w:val="24"/>
          <w:szCs w:val="24"/>
        </w:rPr>
        <w:t xml:space="preserve"> levels. Before we can understand why these ratios were chosen, we need to have a better understanding of the Fibonacci number series. (For </w:t>
      </w:r>
      <w:proofErr w:type="gramStart"/>
      <w:r w:rsidR="009E522F" w:rsidRPr="0027745E">
        <w:rPr>
          <w:rFonts w:ascii="Arial" w:eastAsia="Times New Roman" w:hAnsi="Arial" w:cs="Arial"/>
          <w:sz w:val="24"/>
          <w:szCs w:val="24"/>
        </w:rPr>
        <w:t>a more</w:t>
      </w:r>
      <w:proofErr w:type="gramEnd"/>
      <w:r w:rsidR="009E522F" w:rsidRPr="0027745E">
        <w:rPr>
          <w:rFonts w:ascii="Arial" w:eastAsia="Times New Roman" w:hAnsi="Arial" w:cs="Arial"/>
          <w:sz w:val="24"/>
          <w:szCs w:val="24"/>
        </w:rPr>
        <w:t xml:space="preserve"> in-depth </w:t>
      </w:r>
      <w:r w:rsidR="00142DE6">
        <w:rPr>
          <w:rFonts w:ascii="Arial" w:eastAsia="Times New Roman" w:hAnsi="Arial" w:cs="Arial"/>
          <w:sz w:val="24"/>
          <w:szCs w:val="24"/>
        </w:rPr>
        <w:t xml:space="preserve">information on the calculation </w:t>
      </w:r>
      <w:r w:rsidR="009E522F" w:rsidRPr="0027745E">
        <w:rPr>
          <w:rFonts w:ascii="Arial" w:eastAsia="Times New Roman" w:hAnsi="Arial" w:cs="Arial"/>
          <w:sz w:val="24"/>
          <w:szCs w:val="24"/>
        </w:rPr>
        <w:t xml:space="preserve">of </w:t>
      </w:r>
      <w:r w:rsidR="00142DE6">
        <w:rPr>
          <w:rFonts w:ascii="Arial" w:eastAsia="Times New Roman" w:hAnsi="Arial" w:cs="Arial"/>
          <w:sz w:val="24"/>
          <w:szCs w:val="24"/>
        </w:rPr>
        <w:t>Fibonacci numbers</w:t>
      </w:r>
      <w:r w:rsidR="009E522F" w:rsidRPr="0027745E">
        <w:rPr>
          <w:rFonts w:ascii="Arial" w:eastAsia="Times New Roman" w:hAnsi="Arial" w:cs="Arial"/>
          <w:sz w:val="24"/>
          <w:szCs w:val="24"/>
        </w:rPr>
        <w:t xml:space="preserve">, see </w:t>
      </w:r>
      <w:hyperlink r:id="rId11" w:history="1">
        <w:r w:rsidR="009E522F" w:rsidRPr="0027745E">
          <w:rPr>
            <w:rFonts w:ascii="Arial" w:eastAsia="Times New Roman" w:hAnsi="Arial" w:cs="Arial"/>
            <w:i/>
            <w:iCs/>
            <w:sz w:val="24"/>
            <w:szCs w:val="24"/>
          </w:rPr>
          <w:t>Fibonacci And The Golden Ratio</w:t>
        </w:r>
      </w:hyperlink>
      <w:r w:rsidR="009E522F" w:rsidRPr="0027745E">
        <w:rPr>
          <w:rFonts w:ascii="Arial" w:eastAsia="Times New Roman" w:hAnsi="Arial" w:cs="Arial"/>
          <w:sz w:val="24"/>
          <w:szCs w:val="24"/>
        </w:rPr>
        <w:t>.)</w:t>
      </w:r>
      <w:r w:rsidR="009E522F" w:rsidRPr="0027745E">
        <w:rPr>
          <w:rFonts w:ascii="Arial" w:eastAsia="Times New Roman" w:hAnsi="Arial" w:cs="Arial"/>
          <w:sz w:val="24"/>
          <w:szCs w:val="24"/>
        </w:rPr>
        <w:br/>
      </w:r>
      <w:r w:rsidR="009E522F" w:rsidRPr="0027745E">
        <w:rPr>
          <w:rFonts w:ascii="Arial" w:eastAsia="Times New Roman" w:hAnsi="Arial" w:cs="Arial"/>
          <w:sz w:val="24"/>
          <w:szCs w:val="24"/>
        </w:rPr>
        <w:br/>
        <w:t xml:space="preserve">The Fibonacci sequence of numbers is as follows: 0, 1, 1, 2, 3, 5, 8, 13, 21, 34, 55, 89, 144, etc. Each term in this sequence is simply the sum of the two preceding terms and sequence continues infinitely. One of the remarkable characteristics of this numerical sequence is that each number is approximately 1.618 times greater than the preceding number. This common relationship between every number in the series is the foundation of the common ratios used in </w:t>
      </w:r>
      <w:hyperlink r:id="rId12" w:history="1">
        <w:r w:rsidR="009E522F" w:rsidRPr="0027745E">
          <w:rPr>
            <w:rFonts w:ascii="Arial" w:eastAsia="Times New Roman" w:hAnsi="Arial" w:cs="Arial"/>
            <w:sz w:val="24"/>
            <w:szCs w:val="24"/>
          </w:rPr>
          <w:t>retracement</w:t>
        </w:r>
      </w:hyperlink>
      <w:r w:rsidR="009E522F" w:rsidRPr="0027745E">
        <w:rPr>
          <w:rFonts w:ascii="Arial" w:eastAsia="Times New Roman" w:hAnsi="Arial" w:cs="Arial"/>
          <w:sz w:val="24"/>
          <w:szCs w:val="24"/>
        </w:rPr>
        <w:t xml:space="preserve"> studies. </w:t>
      </w:r>
      <w:r w:rsidR="009E522F" w:rsidRPr="0027745E">
        <w:rPr>
          <w:rFonts w:ascii="Arial" w:eastAsia="Times New Roman" w:hAnsi="Arial" w:cs="Arial"/>
          <w:sz w:val="24"/>
          <w:szCs w:val="24"/>
        </w:rPr>
        <w:br/>
      </w:r>
      <w:r w:rsidR="009E522F" w:rsidRPr="0027745E">
        <w:rPr>
          <w:rFonts w:ascii="Arial" w:eastAsia="Times New Roman" w:hAnsi="Arial" w:cs="Arial"/>
          <w:sz w:val="24"/>
          <w:szCs w:val="24"/>
        </w:rPr>
        <w:br/>
        <w:t>The key Fibonacci ratio of 61.8% - also referred to as "the golden ratio" or "the golden mean" - is found by dividing one number in the series by the number that follows it. For example: 8/13 = 0.6153, and 55/89 = 0.6179.</w:t>
      </w:r>
      <w:r w:rsidR="009E522F" w:rsidRPr="0027745E">
        <w:rPr>
          <w:rFonts w:ascii="Arial" w:eastAsia="Times New Roman" w:hAnsi="Arial" w:cs="Arial"/>
          <w:sz w:val="24"/>
          <w:szCs w:val="24"/>
        </w:rPr>
        <w:br/>
      </w:r>
      <w:r w:rsidR="009E522F" w:rsidRPr="0027745E">
        <w:rPr>
          <w:rFonts w:ascii="Arial" w:eastAsia="Times New Roman" w:hAnsi="Arial" w:cs="Arial"/>
          <w:sz w:val="24"/>
          <w:szCs w:val="24"/>
        </w:rPr>
        <w:br/>
        <w:t>The 38.2% ratio is found by dividing one number in the series by the number that is found two places to the right. For example: 55/144 = 0.3819.</w:t>
      </w:r>
      <w:r w:rsidR="009E522F" w:rsidRPr="0027745E">
        <w:rPr>
          <w:rFonts w:ascii="Arial" w:eastAsia="Times New Roman" w:hAnsi="Arial" w:cs="Arial"/>
          <w:sz w:val="24"/>
          <w:szCs w:val="24"/>
        </w:rPr>
        <w:br/>
      </w:r>
      <w:r w:rsidR="009E522F" w:rsidRPr="0027745E">
        <w:rPr>
          <w:rFonts w:ascii="Arial" w:eastAsia="Times New Roman" w:hAnsi="Arial" w:cs="Arial"/>
          <w:sz w:val="24"/>
          <w:szCs w:val="24"/>
        </w:rPr>
        <w:br/>
        <w:t>The 23.6% ratio is found by dividing one number in the series by the number that is three places to the right. For example: 8/34 = 0.2352.</w:t>
      </w:r>
      <w:r w:rsidR="009E522F" w:rsidRPr="0027745E">
        <w:rPr>
          <w:rFonts w:ascii="Arial" w:eastAsia="Times New Roman" w:hAnsi="Arial" w:cs="Arial"/>
          <w:sz w:val="24"/>
          <w:szCs w:val="24"/>
        </w:rPr>
        <w:br/>
      </w:r>
      <w:r w:rsidR="009E522F" w:rsidRPr="0027745E">
        <w:rPr>
          <w:rFonts w:ascii="Arial" w:eastAsia="Times New Roman" w:hAnsi="Arial" w:cs="Arial"/>
          <w:sz w:val="24"/>
          <w:szCs w:val="24"/>
        </w:rPr>
        <w:br/>
        <w:t xml:space="preserve">For reasons that are unclear, these ratios seem to play an important role in the </w:t>
      </w:r>
      <w:r w:rsidR="006732DA">
        <w:rPr>
          <w:rFonts w:ascii="Arial" w:eastAsia="Times New Roman" w:hAnsi="Arial" w:cs="Arial"/>
          <w:sz w:val="24"/>
          <w:szCs w:val="24"/>
        </w:rPr>
        <w:t xml:space="preserve">forex and </w:t>
      </w:r>
      <w:r w:rsidR="009E522F" w:rsidRPr="0027745E">
        <w:rPr>
          <w:rFonts w:ascii="Arial" w:eastAsia="Times New Roman" w:hAnsi="Arial" w:cs="Arial"/>
          <w:sz w:val="24"/>
          <w:szCs w:val="24"/>
        </w:rPr>
        <w:t>stock market</w:t>
      </w:r>
      <w:r w:rsidR="006732DA">
        <w:rPr>
          <w:rFonts w:ascii="Arial" w:eastAsia="Times New Roman" w:hAnsi="Arial" w:cs="Arial"/>
          <w:sz w:val="24"/>
          <w:szCs w:val="24"/>
        </w:rPr>
        <w:t>s</w:t>
      </w:r>
      <w:r w:rsidR="009E522F" w:rsidRPr="0027745E">
        <w:rPr>
          <w:rFonts w:ascii="Arial" w:eastAsia="Times New Roman" w:hAnsi="Arial" w:cs="Arial"/>
          <w:sz w:val="24"/>
          <w:szCs w:val="24"/>
        </w:rPr>
        <w:t xml:space="preserve">, just as they do in nature, and can be used to determine critical points that cause an asset's price to reverse. The direction of the prior trend is likely to continue once the price of the asset has retraced to one of the ratios listed above. </w:t>
      </w:r>
    </w:p>
    <w:p w:rsidR="009E522F" w:rsidRPr="0027745E" w:rsidRDefault="009E522F" w:rsidP="009E522F">
      <w:pPr>
        <w:spacing w:line="300" w:lineRule="atLeast"/>
        <w:rPr>
          <w:rFonts w:ascii="Arial" w:eastAsia="Times New Roman" w:hAnsi="Arial" w:cs="Arial"/>
          <w:sz w:val="24"/>
          <w:szCs w:val="24"/>
        </w:rPr>
      </w:pPr>
      <w:r w:rsidRPr="0027745E">
        <w:rPr>
          <w:rFonts w:ascii="Arial" w:eastAsia="Times New Roman" w:hAnsi="Arial" w:cs="Arial"/>
          <w:sz w:val="24"/>
          <w:szCs w:val="24"/>
        </w:rPr>
        <w:t>In addition to the ratios described above, many traders also like using the 50% and 78.6% levels. The 50% retracement level is not really a Fibonacci ratio, but it is used because of the overwhelming tendency for an asset to continue in a certain direction once it completes a 50% retracement.</w:t>
      </w:r>
    </w:p>
    <w:p w:rsidR="008F2C11" w:rsidRPr="009E522F" w:rsidRDefault="008F2C11">
      <w:pPr>
        <w:rPr>
          <w:sz w:val="24"/>
          <w:szCs w:val="24"/>
        </w:rPr>
      </w:pPr>
    </w:p>
    <w:sectPr w:rsidR="008F2C11" w:rsidRPr="009E522F" w:rsidSect="008767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22F"/>
    <w:rsid w:val="001371B1"/>
    <w:rsid w:val="00142DE6"/>
    <w:rsid w:val="0027745E"/>
    <w:rsid w:val="00471A6C"/>
    <w:rsid w:val="006732DA"/>
    <w:rsid w:val="00876787"/>
    <w:rsid w:val="008F2C11"/>
    <w:rsid w:val="009A325A"/>
    <w:rsid w:val="009E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522F"/>
    <w:rPr>
      <w:strike w:val="0"/>
      <w:dstrike w:val="0"/>
      <w:color w:val="0066CC"/>
      <w:u w:val="none"/>
      <w:effect w:val="none"/>
    </w:rPr>
  </w:style>
  <w:style w:type="character" w:styleId="Emphasis">
    <w:name w:val="Emphasis"/>
    <w:basedOn w:val="DefaultParagraphFont"/>
    <w:uiPriority w:val="20"/>
    <w:qFormat/>
    <w:rsid w:val="009E522F"/>
    <w:rPr>
      <w:i/>
      <w:iCs/>
    </w:rPr>
  </w:style>
  <w:style w:type="paragraph" w:styleId="BalloonText">
    <w:name w:val="Balloon Text"/>
    <w:basedOn w:val="Normal"/>
    <w:link w:val="BalloonTextChar"/>
    <w:uiPriority w:val="99"/>
    <w:semiHidden/>
    <w:unhideWhenUsed/>
    <w:rsid w:val="009E5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2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522F"/>
    <w:rPr>
      <w:strike w:val="0"/>
      <w:dstrike w:val="0"/>
      <w:color w:val="0066CC"/>
      <w:u w:val="none"/>
      <w:effect w:val="none"/>
    </w:rPr>
  </w:style>
  <w:style w:type="character" w:styleId="Emphasis">
    <w:name w:val="Emphasis"/>
    <w:basedOn w:val="DefaultParagraphFont"/>
    <w:uiPriority w:val="20"/>
    <w:qFormat/>
    <w:rsid w:val="009E522F"/>
    <w:rPr>
      <w:i/>
      <w:iCs/>
    </w:rPr>
  </w:style>
  <w:style w:type="paragraph" w:styleId="BalloonText">
    <w:name w:val="Balloon Text"/>
    <w:basedOn w:val="Normal"/>
    <w:link w:val="BalloonTextChar"/>
    <w:uiPriority w:val="99"/>
    <w:semiHidden/>
    <w:unhideWhenUsed/>
    <w:rsid w:val="009E5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851141">
      <w:bodyDiv w:val="1"/>
      <w:marLeft w:val="0"/>
      <w:marRight w:val="0"/>
      <w:marTop w:val="0"/>
      <w:marBottom w:val="0"/>
      <w:divBdr>
        <w:top w:val="none" w:sz="0" w:space="0" w:color="auto"/>
        <w:left w:val="none" w:sz="0" w:space="0" w:color="auto"/>
        <w:bottom w:val="none" w:sz="0" w:space="0" w:color="auto"/>
        <w:right w:val="none" w:sz="0" w:space="0" w:color="auto"/>
      </w:divBdr>
      <w:divsChild>
        <w:div w:id="1152524371">
          <w:marLeft w:val="0"/>
          <w:marRight w:val="0"/>
          <w:marTop w:val="0"/>
          <w:marBottom w:val="0"/>
          <w:divBdr>
            <w:top w:val="none" w:sz="0" w:space="0" w:color="auto"/>
            <w:left w:val="none" w:sz="0" w:space="0" w:color="auto"/>
            <w:bottom w:val="none" w:sz="0" w:space="0" w:color="auto"/>
            <w:right w:val="none" w:sz="0" w:space="0" w:color="auto"/>
          </w:divBdr>
          <w:divsChild>
            <w:div w:id="1852835509">
              <w:marLeft w:val="0"/>
              <w:marRight w:val="0"/>
              <w:marTop w:val="0"/>
              <w:marBottom w:val="0"/>
              <w:divBdr>
                <w:top w:val="none" w:sz="0" w:space="0" w:color="auto"/>
                <w:left w:val="none" w:sz="0" w:space="0" w:color="auto"/>
                <w:bottom w:val="none" w:sz="0" w:space="0" w:color="auto"/>
                <w:right w:val="none" w:sz="0" w:space="0" w:color="auto"/>
              </w:divBdr>
              <w:divsChild>
                <w:div w:id="1902208887">
                  <w:marLeft w:val="0"/>
                  <w:marRight w:val="4500"/>
                  <w:marTop w:val="0"/>
                  <w:marBottom w:val="0"/>
                  <w:divBdr>
                    <w:top w:val="none" w:sz="0" w:space="0" w:color="auto"/>
                    <w:left w:val="none" w:sz="0" w:space="0" w:color="auto"/>
                    <w:bottom w:val="none" w:sz="0" w:space="0" w:color="auto"/>
                    <w:right w:val="none" w:sz="0" w:space="0" w:color="auto"/>
                  </w:divBdr>
                  <w:divsChild>
                    <w:div w:id="1189681790">
                      <w:marLeft w:val="0"/>
                      <w:marRight w:val="0"/>
                      <w:marTop w:val="0"/>
                      <w:marBottom w:val="0"/>
                      <w:divBdr>
                        <w:top w:val="none" w:sz="0" w:space="0" w:color="auto"/>
                        <w:left w:val="none" w:sz="0" w:space="0" w:color="auto"/>
                        <w:bottom w:val="none" w:sz="0" w:space="0" w:color="auto"/>
                        <w:right w:val="none" w:sz="0" w:space="0" w:color="auto"/>
                      </w:divBdr>
                      <w:divsChild>
                        <w:div w:id="1684161432">
                          <w:marLeft w:val="0"/>
                          <w:marRight w:val="0"/>
                          <w:marTop w:val="0"/>
                          <w:marBottom w:val="0"/>
                          <w:divBdr>
                            <w:top w:val="none" w:sz="0" w:space="0" w:color="auto"/>
                            <w:left w:val="none" w:sz="0" w:space="0" w:color="auto"/>
                            <w:bottom w:val="none" w:sz="0" w:space="0" w:color="auto"/>
                            <w:right w:val="none" w:sz="0" w:space="0" w:color="auto"/>
                          </w:divBdr>
                          <w:divsChild>
                            <w:div w:id="1941599349">
                              <w:marLeft w:val="0"/>
                              <w:marRight w:val="0"/>
                              <w:marTop w:val="0"/>
                              <w:marBottom w:val="0"/>
                              <w:divBdr>
                                <w:top w:val="none" w:sz="0" w:space="0" w:color="auto"/>
                                <w:left w:val="none" w:sz="0" w:space="0" w:color="auto"/>
                                <w:bottom w:val="none" w:sz="0" w:space="0" w:color="auto"/>
                                <w:right w:val="none" w:sz="0" w:space="0" w:color="auto"/>
                              </w:divBdr>
                              <w:divsChild>
                                <w:div w:id="1889761768">
                                  <w:marLeft w:val="0"/>
                                  <w:marRight w:val="0"/>
                                  <w:marTop w:val="0"/>
                                  <w:marBottom w:val="0"/>
                                  <w:divBdr>
                                    <w:top w:val="none" w:sz="0" w:space="0" w:color="auto"/>
                                    <w:left w:val="none" w:sz="0" w:space="0" w:color="auto"/>
                                    <w:bottom w:val="none" w:sz="0" w:space="0" w:color="auto"/>
                                    <w:right w:val="none" w:sz="0" w:space="0" w:color="auto"/>
                                  </w:divBdr>
                                  <w:divsChild>
                                    <w:div w:id="776874250">
                                      <w:marLeft w:val="0"/>
                                      <w:marRight w:val="0"/>
                                      <w:marTop w:val="0"/>
                                      <w:marBottom w:val="300"/>
                                      <w:divBdr>
                                        <w:top w:val="none" w:sz="0" w:space="0" w:color="auto"/>
                                        <w:left w:val="none" w:sz="0" w:space="0" w:color="auto"/>
                                        <w:bottom w:val="none" w:sz="0" w:space="0" w:color="auto"/>
                                        <w:right w:val="none" w:sz="0" w:space="0" w:color="auto"/>
                                      </w:divBdr>
                                      <w:divsChild>
                                        <w:div w:id="705371418">
                                          <w:marLeft w:val="0"/>
                                          <w:marRight w:val="0"/>
                                          <w:marTop w:val="0"/>
                                          <w:marBottom w:val="0"/>
                                          <w:divBdr>
                                            <w:top w:val="none" w:sz="0" w:space="0" w:color="auto"/>
                                            <w:left w:val="none" w:sz="0" w:space="0" w:color="auto"/>
                                            <w:bottom w:val="none" w:sz="0" w:space="0" w:color="auto"/>
                                            <w:right w:val="none" w:sz="0" w:space="0" w:color="auto"/>
                                          </w:divBdr>
                                          <w:divsChild>
                                            <w:div w:id="1600262219">
                                              <w:marLeft w:val="0"/>
                                              <w:marRight w:val="0"/>
                                              <w:marTop w:val="0"/>
                                              <w:marBottom w:val="0"/>
                                              <w:divBdr>
                                                <w:top w:val="none" w:sz="0" w:space="0" w:color="auto"/>
                                                <w:left w:val="none" w:sz="0" w:space="0" w:color="auto"/>
                                                <w:bottom w:val="none" w:sz="0" w:space="0" w:color="auto"/>
                                                <w:right w:val="none" w:sz="0" w:space="0" w:color="auto"/>
                                              </w:divBdr>
                                            </w:div>
                                          </w:divsChild>
                                        </w:div>
                                        <w:div w:id="235750609">
                                          <w:marLeft w:val="0"/>
                                          <w:marRight w:val="0"/>
                                          <w:marTop w:val="0"/>
                                          <w:marBottom w:val="0"/>
                                          <w:divBdr>
                                            <w:top w:val="none" w:sz="0" w:space="0" w:color="auto"/>
                                            <w:left w:val="none" w:sz="0" w:space="0" w:color="auto"/>
                                            <w:bottom w:val="none" w:sz="0" w:space="0" w:color="auto"/>
                                            <w:right w:val="none" w:sz="0" w:space="0" w:color="auto"/>
                                          </w:divBdr>
                                          <w:divsChild>
                                            <w:div w:id="191450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opedia.com/terms/t/trough.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vestopedia.com/terms/p/peak.asp" TargetMode="External"/><Relationship Id="rId12" Type="http://schemas.openxmlformats.org/officeDocument/2006/relationships/hyperlink" Target="http://www.investopedia.com/terms/r/retracement.as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vestopedia.com/terms/f/fibonaccilines.asp" TargetMode="External"/><Relationship Id="rId11" Type="http://schemas.openxmlformats.org/officeDocument/2006/relationships/hyperlink" Target="http://www.investopedia.com/articles/technical/04/033104.asp" TargetMode="External"/><Relationship Id="rId5" Type="http://schemas.openxmlformats.org/officeDocument/2006/relationships/hyperlink" Target="http://www.investopedia.com/terms/f/fibonacciretracement.asp" TargetMode="External"/><Relationship Id="rId10" Type="http://schemas.openxmlformats.org/officeDocument/2006/relationships/hyperlink" Target="http://www.investopedia.com/terms/r/resistance.asp" TargetMode="External"/><Relationship Id="rId4" Type="http://schemas.openxmlformats.org/officeDocument/2006/relationships/webSettings" Target="webSettings.xml"/><Relationship Id="rId9" Type="http://schemas.openxmlformats.org/officeDocument/2006/relationships/hyperlink" Target="http://www.investopedia.com/terms/s/support.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dc:creator>
  <cp:lastModifiedBy>Kirk</cp:lastModifiedBy>
  <cp:revision>4</cp:revision>
  <dcterms:created xsi:type="dcterms:W3CDTF">2013-07-03T16:10:00Z</dcterms:created>
  <dcterms:modified xsi:type="dcterms:W3CDTF">2013-07-03T22:35:00Z</dcterms:modified>
</cp:coreProperties>
</file>